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AA22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 xml:space="preserve">Federal Aviation </w:t>
      </w:r>
      <w:r w:rsidRPr="00E26E11">
        <w:rPr>
          <w:rFonts w:cstheme="minorHAnsi"/>
          <w:color w:val="1A201F"/>
          <w:sz w:val="24"/>
          <w:szCs w:val="24"/>
        </w:rPr>
        <w:t>Administration</w:t>
      </w:r>
    </w:p>
    <w:p w14:paraId="5C8BC4F9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 xml:space="preserve">Regulatory </w:t>
      </w:r>
      <w:r w:rsidRPr="00E26E11">
        <w:rPr>
          <w:rFonts w:cstheme="minorHAnsi"/>
          <w:color w:val="1A201F"/>
          <w:sz w:val="24"/>
          <w:szCs w:val="24"/>
        </w:rPr>
        <w:t>Dockets</w:t>
      </w:r>
    </w:p>
    <w:p w14:paraId="79107080" w14:textId="04C2275A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 xml:space="preserve">Orville Wright </w:t>
      </w:r>
      <w:r w:rsidRPr="00E26E11">
        <w:rPr>
          <w:rFonts w:cstheme="minorHAnsi"/>
          <w:color w:val="1A201F"/>
          <w:sz w:val="24"/>
          <w:szCs w:val="24"/>
        </w:rPr>
        <w:t xml:space="preserve">Building </w:t>
      </w:r>
      <w:r w:rsidRPr="00E26E11">
        <w:rPr>
          <w:rFonts w:cstheme="minorHAnsi"/>
          <w:color w:val="2C3433"/>
          <w:sz w:val="24"/>
          <w:szCs w:val="24"/>
        </w:rPr>
        <w:t>(FOB1</w:t>
      </w:r>
      <w:r w:rsidRPr="00E26E11">
        <w:rPr>
          <w:rFonts w:cstheme="minorHAnsi"/>
          <w:color w:val="1A201F"/>
          <w:sz w:val="24"/>
          <w:szCs w:val="24"/>
        </w:rPr>
        <w:t>OA)</w:t>
      </w:r>
    </w:p>
    <w:p w14:paraId="06B8DBDC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1A201F"/>
          <w:sz w:val="24"/>
          <w:szCs w:val="24"/>
        </w:rPr>
        <w:t xml:space="preserve">800 </w:t>
      </w:r>
      <w:r w:rsidRPr="00E26E11">
        <w:rPr>
          <w:rFonts w:cstheme="minorHAnsi"/>
          <w:color w:val="474C4B"/>
          <w:sz w:val="24"/>
          <w:szCs w:val="24"/>
        </w:rPr>
        <w:t>I</w:t>
      </w:r>
      <w:r w:rsidRPr="00E26E11">
        <w:rPr>
          <w:rFonts w:cstheme="minorHAnsi"/>
          <w:color w:val="2C3433"/>
          <w:sz w:val="24"/>
          <w:szCs w:val="24"/>
        </w:rPr>
        <w:t xml:space="preserve">ndependence </w:t>
      </w:r>
      <w:r w:rsidRPr="00E26E11">
        <w:rPr>
          <w:rFonts w:cstheme="minorHAnsi"/>
          <w:color w:val="1A201F"/>
          <w:sz w:val="24"/>
          <w:szCs w:val="24"/>
        </w:rPr>
        <w:t>Avenue</w:t>
      </w:r>
      <w:r w:rsidRPr="00E26E11">
        <w:rPr>
          <w:rFonts w:cstheme="minorHAnsi"/>
          <w:color w:val="474C4B"/>
          <w:sz w:val="24"/>
          <w:szCs w:val="24"/>
        </w:rPr>
        <w:t xml:space="preserve">, </w:t>
      </w:r>
      <w:r w:rsidRPr="00E26E11">
        <w:rPr>
          <w:rFonts w:cstheme="minorHAnsi"/>
          <w:color w:val="1A201F"/>
          <w:sz w:val="24"/>
          <w:szCs w:val="24"/>
        </w:rPr>
        <w:t>SW</w:t>
      </w:r>
    </w:p>
    <w:p w14:paraId="7CD7360C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 xml:space="preserve">Washington, </w:t>
      </w:r>
      <w:r w:rsidRPr="00E26E11">
        <w:rPr>
          <w:rFonts w:cstheme="minorHAnsi"/>
          <w:color w:val="1A201F"/>
          <w:sz w:val="24"/>
          <w:szCs w:val="24"/>
        </w:rPr>
        <w:t>DC 20591</w:t>
      </w:r>
    </w:p>
    <w:p w14:paraId="6741743A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</w:p>
    <w:p w14:paraId="5514B74D" w14:textId="0B841389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  <w:r w:rsidRPr="00E26E11">
        <w:rPr>
          <w:rFonts w:cstheme="minorHAnsi"/>
          <w:color w:val="1A201F"/>
          <w:sz w:val="24"/>
          <w:szCs w:val="24"/>
        </w:rPr>
        <w:t xml:space="preserve">Subject: </w:t>
      </w:r>
      <w:r w:rsidRPr="00E26E11">
        <w:rPr>
          <w:rFonts w:cstheme="minorHAnsi"/>
          <w:color w:val="2C3433"/>
          <w:sz w:val="24"/>
          <w:szCs w:val="24"/>
        </w:rPr>
        <w:t xml:space="preserve">Time-limited </w:t>
      </w:r>
      <w:r w:rsidRPr="00E26E11">
        <w:rPr>
          <w:rFonts w:cstheme="minorHAnsi"/>
          <w:color w:val="1A201F"/>
          <w:sz w:val="24"/>
          <w:szCs w:val="24"/>
        </w:rPr>
        <w:t xml:space="preserve">Exemption </w:t>
      </w:r>
      <w:r w:rsidRPr="00E26E11">
        <w:rPr>
          <w:rFonts w:cstheme="minorHAnsi"/>
          <w:color w:val="2C3433"/>
          <w:sz w:val="24"/>
          <w:szCs w:val="24"/>
        </w:rPr>
        <w:t xml:space="preserve">from 14 </w:t>
      </w:r>
      <w:r w:rsidRPr="00E26E11">
        <w:rPr>
          <w:rFonts w:cstheme="minorHAnsi"/>
          <w:color w:val="1A201F"/>
          <w:sz w:val="24"/>
          <w:szCs w:val="24"/>
        </w:rPr>
        <w:t xml:space="preserve">CFR 91.227 </w:t>
      </w:r>
      <w:r w:rsidRPr="00E26E11">
        <w:rPr>
          <w:rFonts w:cstheme="minorHAnsi"/>
          <w:color w:val="2C3433"/>
          <w:sz w:val="24"/>
          <w:szCs w:val="24"/>
        </w:rPr>
        <w:t>(c</w:t>
      </w:r>
      <w:proofErr w:type="gramStart"/>
      <w:r w:rsidRPr="00E26E11">
        <w:rPr>
          <w:rFonts w:cstheme="minorHAnsi"/>
          <w:color w:val="2C3433"/>
          <w:sz w:val="24"/>
          <w:szCs w:val="24"/>
        </w:rPr>
        <w:t>)</w:t>
      </w:r>
      <w:r w:rsidR="00E26E11">
        <w:rPr>
          <w:rFonts w:cstheme="minorHAnsi"/>
          <w:color w:val="2C3433"/>
          <w:sz w:val="24"/>
          <w:szCs w:val="24"/>
        </w:rPr>
        <w:t>(</w:t>
      </w:r>
      <w:proofErr w:type="gramEnd"/>
      <w:r w:rsidRPr="00E26E11">
        <w:rPr>
          <w:rFonts w:cstheme="minorHAnsi"/>
          <w:color w:val="2C3433"/>
          <w:sz w:val="24"/>
          <w:szCs w:val="24"/>
        </w:rPr>
        <w:t xml:space="preserve">1)(i) </w:t>
      </w:r>
      <w:r w:rsidRPr="00E26E11">
        <w:rPr>
          <w:rFonts w:cstheme="minorHAnsi"/>
          <w:color w:val="1A201F"/>
          <w:sz w:val="24"/>
          <w:szCs w:val="24"/>
        </w:rPr>
        <w:t xml:space="preserve">and </w:t>
      </w:r>
      <w:r w:rsidRPr="00E26E11">
        <w:rPr>
          <w:rFonts w:cstheme="minorHAnsi"/>
          <w:color w:val="2C3433"/>
          <w:sz w:val="24"/>
          <w:szCs w:val="24"/>
        </w:rPr>
        <w:t>(</w:t>
      </w:r>
      <w:r w:rsidRPr="00E26E11">
        <w:rPr>
          <w:rFonts w:cstheme="minorHAnsi"/>
          <w:color w:val="474C4B"/>
          <w:sz w:val="24"/>
          <w:szCs w:val="24"/>
        </w:rPr>
        <w:t>i</w:t>
      </w:r>
      <w:r w:rsidRPr="00E26E11">
        <w:rPr>
          <w:rFonts w:cstheme="minorHAnsi"/>
          <w:color w:val="2C3433"/>
          <w:sz w:val="24"/>
          <w:szCs w:val="24"/>
        </w:rPr>
        <w:t xml:space="preserve">ii) </w:t>
      </w:r>
      <w:r w:rsidRPr="00E26E11">
        <w:rPr>
          <w:rFonts w:cstheme="minorHAnsi"/>
          <w:color w:val="1A201F"/>
          <w:sz w:val="24"/>
          <w:szCs w:val="24"/>
        </w:rPr>
        <w:t>-</w:t>
      </w:r>
      <w:r w:rsidR="00E26E11">
        <w:rPr>
          <w:rFonts w:cstheme="minorHAnsi"/>
          <w:color w:val="1A201F"/>
          <w:sz w:val="24"/>
          <w:szCs w:val="24"/>
        </w:rPr>
        <w:t xml:space="preserve"> </w:t>
      </w:r>
      <w:r w:rsidRPr="00E26E11">
        <w:rPr>
          <w:rFonts w:cstheme="minorHAnsi"/>
          <w:color w:val="1A201F"/>
          <w:sz w:val="24"/>
          <w:szCs w:val="24"/>
        </w:rPr>
        <w:t xml:space="preserve">Automatic </w:t>
      </w:r>
      <w:r w:rsidRPr="00E26E11">
        <w:rPr>
          <w:rFonts w:cstheme="minorHAnsi"/>
          <w:color w:val="2C3433"/>
          <w:sz w:val="24"/>
          <w:szCs w:val="24"/>
        </w:rPr>
        <w:t>Dependent</w:t>
      </w:r>
    </w:p>
    <w:p w14:paraId="16C8E3D6" w14:textId="438160C4" w:rsidR="008A5BB9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 w:rsidRPr="00E26E11">
        <w:rPr>
          <w:rFonts w:cstheme="minorHAnsi"/>
          <w:color w:val="1A201F"/>
          <w:sz w:val="24"/>
          <w:szCs w:val="24"/>
        </w:rPr>
        <w:t xml:space="preserve">Surveillance Broadcast </w:t>
      </w:r>
      <w:r w:rsidRPr="00E26E11">
        <w:rPr>
          <w:rFonts w:cstheme="minorHAnsi"/>
          <w:color w:val="2C3433"/>
          <w:sz w:val="24"/>
          <w:szCs w:val="24"/>
        </w:rPr>
        <w:t xml:space="preserve">(ADS-B) </w:t>
      </w:r>
      <w:r w:rsidRPr="00E26E11">
        <w:rPr>
          <w:rFonts w:cstheme="minorHAnsi"/>
          <w:color w:val="1A201F"/>
          <w:sz w:val="24"/>
          <w:szCs w:val="24"/>
        </w:rPr>
        <w:t>Out Equipment Performance Requirements</w:t>
      </w:r>
      <w:r w:rsidR="003F290C">
        <w:rPr>
          <w:rFonts w:cstheme="minorHAnsi"/>
          <w:color w:val="1A201F"/>
          <w:sz w:val="24"/>
          <w:szCs w:val="24"/>
        </w:rPr>
        <w:t xml:space="preserve"> </w:t>
      </w:r>
      <w:r w:rsidR="00107573">
        <w:rPr>
          <w:rFonts w:cstheme="minorHAnsi"/>
          <w:color w:val="1A201F"/>
          <w:sz w:val="24"/>
          <w:szCs w:val="24"/>
        </w:rPr>
        <w:t xml:space="preserve">Termination </w:t>
      </w:r>
      <w:bookmarkStart w:id="0" w:name="_GoBack"/>
      <w:bookmarkEnd w:id="0"/>
      <w:r w:rsidR="003F290C">
        <w:rPr>
          <w:rFonts w:cstheme="minorHAnsi"/>
          <w:color w:val="1A201F"/>
          <w:sz w:val="24"/>
          <w:szCs w:val="24"/>
        </w:rPr>
        <w:t>Request</w:t>
      </w:r>
      <w:r w:rsidRPr="00E26E11">
        <w:rPr>
          <w:rFonts w:cstheme="minorHAnsi"/>
          <w:color w:val="1A201F"/>
          <w:sz w:val="24"/>
          <w:szCs w:val="24"/>
        </w:rPr>
        <w:t xml:space="preserve">  </w:t>
      </w:r>
    </w:p>
    <w:p w14:paraId="4BC62581" w14:textId="0B99A121" w:rsidR="00F93D9D" w:rsidRDefault="00F93D9D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</w:p>
    <w:p w14:paraId="1FC72B9C" w14:textId="5A636962" w:rsidR="00F93D9D" w:rsidRPr="00E26E11" w:rsidRDefault="00F93D9D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  <w:r>
        <w:rPr>
          <w:rFonts w:cstheme="minorHAnsi"/>
          <w:color w:val="1A201F"/>
          <w:sz w:val="24"/>
          <w:szCs w:val="24"/>
        </w:rPr>
        <w:t>Reference: Grant of Exemption No. 12555, Regulatory Docket No. FAA-2015-0971.</w:t>
      </w:r>
    </w:p>
    <w:p w14:paraId="33D93A92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1A201F"/>
          <w:sz w:val="24"/>
          <w:szCs w:val="24"/>
        </w:rPr>
      </w:pPr>
    </w:p>
    <w:p w14:paraId="2FA8C4DD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 xml:space="preserve">Grant of Exemption No. 12555 provides for </w:t>
      </w:r>
      <w:r w:rsidRPr="00E26E11">
        <w:rPr>
          <w:rFonts w:cstheme="minorHAnsi"/>
          <w:color w:val="1A201F"/>
          <w:sz w:val="24"/>
          <w:szCs w:val="24"/>
        </w:rPr>
        <w:t xml:space="preserve">a </w:t>
      </w:r>
      <w:r w:rsidRPr="00E26E11">
        <w:rPr>
          <w:rFonts w:cstheme="minorHAnsi"/>
          <w:color w:val="2C3433"/>
          <w:sz w:val="24"/>
          <w:szCs w:val="24"/>
        </w:rPr>
        <w:t>time</w:t>
      </w:r>
      <w:r w:rsidRPr="00E26E11">
        <w:rPr>
          <w:rFonts w:cstheme="minorHAnsi"/>
          <w:color w:val="060D09"/>
          <w:sz w:val="24"/>
          <w:szCs w:val="24"/>
        </w:rPr>
        <w:t xml:space="preserve">- </w:t>
      </w:r>
      <w:r w:rsidRPr="00E26E11">
        <w:rPr>
          <w:rFonts w:cstheme="minorHAnsi"/>
          <w:color w:val="2C3433"/>
          <w:sz w:val="24"/>
          <w:szCs w:val="24"/>
        </w:rPr>
        <w:t xml:space="preserve">limited </w:t>
      </w:r>
      <w:r w:rsidRPr="00E26E11">
        <w:rPr>
          <w:rFonts w:cstheme="minorHAnsi"/>
          <w:color w:val="1A201F"/>
          <w:sz w:val="24"/>
          <w:szCs w:val="24"/>
        </w:rPr>
        <w:t>grant of e</w:t>
      </w:r>
      <w:r w:rsidRPr="00E26E11">
        <w:rPr>
          <w:rFonts w:cstheme="minorHAnsi"/>
          <w:color w:val="474C4B"/>
          <w:sz w:val="24"/>
          <w:szCs w:val="24"/>
        </w:rPr>
        <w:t>x</w:t>
      </w:r>
      <w:r w:rsidRPr="00E26E11">
        <w:rPr>
          <w:rFonts w:cstheme="minorHAnsi"/>
          <w:color w:val="1A201F"/>
          <w:sz w:val="24"/>
          <w:szCs w:val="24"/>
        </w:rPr>
        <w:t xml:space="preserve">emption </w:t>
      </w:r>
      <w:r w:rsidRPr="00E26E11">
        <w:rPr>
          <w:rFonts w:cstheme="minorHAnsi"/>
          <w:color w:val="2C3433"/>
          <w:sz w:val="24"/>
          <w:szCs w:val="24"/>
        </w:rPr>
        <w:t>from the ADS-B</w:t>
      </w:r>
    </w:p>
    <w:p w14:paraId="7895133F" w14:textId="2C89373B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474C4B"/>
          <w:sz w:val="24"/>
          <w:szCs w:val="24"/>
        </w:rPr>
      </w:pPr>
      <w:r w:rsidRPr="00E26E11">
        <w:rPr>
          <w:rFonts w:cstheme="minorHAnsi"/>
          <w:color w:val="474C4B"/>
          <w:sz w:val="24"/>
          <w:szCs w:val="24"/>
        </w:rPr>
        <w:t>N</w:t>
      </w:r>
      <w:r w:rsidRPr="00E26E11">
        <w:rPr>
          <w:rFonts w:cstheme="minorHAnsi"/>
          <w:color w:val="2C3433"/>
          <w:sz w:val="24"/>
          <w:szCs w:val="24"/>
        </w:rPr>
        <w:t>av</w:t>
      </w:r>
      <w:r w:rsidRPr="00E26E11">
        <w:rPr>
          <w:rFonts w:cstheme="minorHAnsi"/>
          <w:color w:val="474C4B"/>
          <w:sz w:val="24"/>
          <w:szCs w:val="24"/>
        </w:rPr>
        <w:t>i</w:t>
      </w:r>
      <w:r w:rsidRPr="00E26E11">
        <w:rPr>
          <w:rFonts w:cstheme="minorHAnsi"/>
          <w:color w:val="2C3433"/>
          <w:sz w:val="24"/>
          <w:szCs w:val="24"/>
        </w:rPr>
        <w:t xml:space="preserve">gation Integrity </w:t>
      </w:r>
      <w:r w:rsidRPr="00E26E11">
        <w:rPr>
          <w:rFonts w:cstheme="minorHAnsi"/>
          <w:color w:val="1A201F"/>
          <w:sz w:val="24"/>
          <w:szCs w:val="24"/>
        </w:rPr>
        <w:t xml:space="preserve">Category </w:t>
      </w:r>
      <w:r w:rsidRPr="00E26E11">
        <w:rPr>
          <w:rFonts w:cstheme="minorHAnsi"/>
          <w:color w:val="2C3433"/>
          <w:sz w:val="24"/>
          <w:szCs w:val="24"/>
        </w:rPr>
        <w:t xml:space="preserve">(NIC) </w:t>
      </w:r>
      <w:r w:rsidRPr="00E26E11">
        <w:rPr>
          <w:rFonts w:cstheme="minorHAnsi"/>
          <w:color w:val="1A201F"/>
          <w:sz w:val="24"/>
          <w:szCs w:val="24"/>
        </w:rPr>
        <w:t xml:space="preserve">and </w:t>
      </w:r>
      <w:r w:rsidRPr="00E26E11">
        <w:rPr>
          <w:rFonts w:cstheme="minorHAnsi"/>
          <w:color w:val="2C3433"/>
          <w:sz w:val="24"/>
          <w:szCs w:val="24"/>
        </w:rPr>
        <w:t xml:space="preserve">Navigation </w:t>
      </w:r>
      <w:r w:rsidRPr="00E26E11">
        <w:rPr>
          <w:rFonts w:cstheme="minorHAnsi"/>
          <w:color w:val="1A201F"/>
          <w:sz w:val="24"/>
          <w:szCs w:val="24"/>
        </w:rPr>
        <w:t xml:space="preserve">Accuracy Category </w:t>
      </w:r>
      <w:r w:rsidRPr="00E26E11">
        <w:rPr>
          <w:rFonts w:cstheme="minorHAnsi"/>
          <w:color w:val="2C3433"/>
          <w:sz w:val="24"/>
          <w:szCs w:val="24"/>
        </w:rPr>
        <w:t>for position (</w:t>
      </w:r>
      <w:proofErr w:type="spellStart"/>
      <w:r w:rsidRPr="00E26E11">
        <w:rPr>
          <w:rFonts w:cstheme="minorHAnsi"/>
          <w:color w:val="2C3433"/>
          <w:sz w:val="24"/>
          <w:szCs w:val="24"/>
        </w:rPr>
        <w:t>NACp</w:t>
      </w:r>
      <w:proofErr w:type="spellEnd"/>
      <w:r w:rsidRPr="00E26E11">
        <w:rPr>
          <w:rFonts w:cstheme="minorHAnsi"/>
          <w:color w:val="474C4B"/>
          <w:sz w:val="24"/>
          <w:szCs w:val="24"/>
        </w:rPr>
        <w:t>)</w:t>
      </w:r>
      <w:r w:rsidR="004C31CA">
        <w:rPr>
          <w:rFonts w:cstheme="minorHAnsi"/>
          <w:color w:val="474C4B"/>
          <w:sz w:val="24"/>
          <w:szCs w:val="24"/>
        </w:rPr>
        <w:t xml:space="preserve"> </w:t>
      </w:r>
      <w:r w:rsidRPr="00E26E11">
        <w:rPr>
          <w:rFonts w:cstheme="minorHAnsi"/>
          <w:color w:val="474C4B"/>
          <w:sz w:val="24"/>
          <w:szCs w:val="24"/>
        </w:rPr>
        <w:t xml:space="preserve"> </w:t>
      </w:r>
    </w:p>
    <w:p w14:paraId="0A10443D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  <w:proofErr w:type="gramStart"/>
      <w:r w:rsidRPr="00E26E11">
        <w:rPr>
          <w:rFonts w:cstheme="minorHAnsi"/>
          <w:color w:val="474C4B"/>
          <w:sz w:val="24"/>
          <w:szCs w:val="24"/>
        </w:rPr>
        <w:t>r</w:t>
      </w:r>
      <w:r w:rsidRPr="00E26E11">
        <w:rPr>
          <w:rFonts w:cstheme="minorHAnsi"/>
          <w:color w:val="1A201F"/>
          <w:sz w:val="24"/>
          <w:szCs w:val="24"/>
        </w:rPr>
        <w:t>equ</w:t>
      </w:r>
      <w:r w:rsidRPr="00E26E11">
        <w:rPr>
          <w:rFonts w:cstheme="minorHAnsi"/>
          <w:color w:val="474C4B"/>
          <w:sz w:val="24"/>
          <w:szCs w:val="24"/>
        </w:rPr>
        <w:t>i</w:t>
      </w:r>
      <w:r w:rsidRPr="00E26E11">
        <w:rPr>
          <w:rFonts w:cstheme="minorHAnsi"/>
          <w:color w:val="2C3433"/>
          <w:sz w:val="24"/>
          <w:szCs w:val="24"/>
        </w:rPr>
        <w:t>rements</w:t>
      </w:r>
      <w:proofErr w:type="gramEnd"/>
      <w:r w:rsidRPr="00E26E11">
        <w:rPr>
          <w:rFonts w:cstheme="minorHAnsi"/>
          <w:color w:val="2C3433"/>
          <w:sz w:val="24"/>
          <w:szCs w:val="24"/>
        </w:rPr>
        <w:t xml:space="preserve"> </w:t>
      </w:r>
      <w:r w:rsidRPr="00E26E11">
        <w:rPr>
          <w:rFonts w:cstheme="minorHAnsi"/>
          <w:color w:val="1A201F"/>
          <w:sz w:val="24"/>
          <w:szCs w:val="24"/>
        </w:rPr>
        <w:t xml:space="preserve">of </w:t>
      </w:r>
      <w:r w:rsidRPr="00E26E11">
        <w:rPr>
          <w:rFonts w:cstheme="minorHAnsi"/>
          <w:color w:val="2C3433"/>
          <w:sz w:val="24"/>
          <w:szCs w:val="24"/>
        </w:rPr>
        <w:t xml:space="preserve">14 </w:t>
      </w:r>
      <w:r w:rsidRPr="00E26E11">
        <w:rPr>
          <w:rFonts w:cstheme="minorHAnsi"/>
          <w:color w:val="1A201F"/>
          <w:sz w:val="24"/>
          <w:szCs w:val="24"/>
        </w:rPr>
        <w:t xml:space="preserve">CFR section 91.227(c)(1 </w:t>
      </w:r>
      <w:r w:rsidRPr="00E26E11">
        <w:rPr>
          <w:rFonts w:cstheme="minorHAnsi"/>
          <w:color w:val="2C3433"/>
          <w:sz w:val="24"/>
          <w:szCs w:val="24"/>
        </w:rPr>
        <w:t xml:space="preserve">)(i) </w:t>
      </w:r>
      <w:r w:rsidRPr="00E26E11">
        <w:rPr>
          <w:rFonts w:cstheme="minorHAnsi"/>
          <w:color w:val="1A201F"/>
          <w:sz w:val="24"/>
          <w:szCs w:val="24"/>
        </w:rPr>
        <w:t xml:space="preserve">and </w:t>
      </w:r>
      <w:r w:rsidRPr="00E26E11">
        <w:rPr>
          <w:rFonts w:cstheme="minorHAnsi"/>
          <w:color w:val="2C3433"/>
          <w:sz w:val="24"/>
          <w:szCs w:val="24"/>
        </w:rPr>
        <w:t xml:space="preserve">(iii) from January </w:t>
      </w:r>
      <w:r w:rsidRPr="00E26E11">
        <w:rPr>
          <w:rFonts w:cstheme="minorHAnsi"/>
          <w:b/>
          <w:bCs/>
          <w:color w:val="2C3433"/>
          <w:sz w:val="24"/>
          <w:szCs w:val="24"/>
        </w:rPr>
        <w:t>1</w:t>
      </w:r>
      <w:r w:rsidRPr="00E26E11">
        <w:rPr>
          <w:rFonts w:cstheme="minorHAnsi"/>
          <w:b/>
          <w:bCs/>
          <w:color w:val="474C4B"/>
          <w:sz w:val="24"/>
          <w:szCs w:val="24"/>
        </w:rPr>
        <w:t xml:space="preserve">, </w:t>
      </w:r>
      <w:r w:rsidRPr="00E26E11">
        <w:rPr>
          <w:rFonts w:cstheme="minorHAnsi"/>
          <w:color w:val="1A201F"/>
          <w:sz w:val="24"/>
          <w:szCs w:val="24"/>
        </w:rPr>
        <w:t xml:space="preserve">2020 </w:t>
      </w:r>
      <w:r w:rsidRPr="00E26E11">
        <w:rPr>
          <w:rFonts w:cstheme="minorHAnsi"/>
          <w:color w:val="2C3433"/>
          <w:sz w:val="24"/>
          <w:szCs w:val="24"/>
        </w:rPr>
        <w:t>through</w:t>
      </w:r>
    </w:p>
    <w:p w14:paraId="2D167E73" w14:textId="7B9D4960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474C4B"/>
          <w:sz w:val="24"/>
          <w:szCs w:val="24"/>
        </w:rPr>
      </w:pPr>
      <w:r w:rsidRPr="00E26E11">
        <w:rPr>
          <w:rFonts w:cstheme="minorHAnsi"/>
          <w:color w:val="2C3433"/>
          <w:sz w:val="24"/>
          <w:szCs w:val="24"/>
        </w:rPr>
        <w:t>December 31,</w:t>
      </w:r>
      <w:r w:rsidRPr="00E26E11">
        <w:rPr>
          <w:rFonts w:cstheme="minorHAnsi"/>
          <w:color w:val="474C4B"/>
          <w:sz w:val="24"/>
          <w:szCs w:val="24"/>
        </w:rPr>
        <w:t xml:space="preserve"> </w:t>
      </w:r>
      <w:r w:rsidRPr="00E26E11">
        <w:rPr>
          <w:rFonts w:cstheme="minorHAnsi"/>
          <w:color w:val="1A201F"/>
          <w:sz w:val="24"/>
          <w:szCs w:val="24"/>
        </w:rPr>
        <w:t>2024</w:t>
      </w:r>
      <w:r w:rsidRPr="00E26E11">
        <w:rPr>
          <w:rFonts w:cstheme="minorHAnsi"/>
          <w:color w:val="474C4B"/>
          <w:sz w:val="24"/>
          <w:szCs w:val="24"/>
        </w:rPr>
        <w:t>.</w:t>
      </w:r>
      <w:r w:rsidR="00A17D36">
        <w:rPr>
          <w:rFonts w:cstheme="minorHAnsi"/>
          <w:color w:val="474C4B"/>
          <w:sz w:val="24"/>
          <w:szCs w:val="24"/>
        </w:rPr>
        <w:t xml:space="preserve">  </w:t>
      </w:r>
    </w:p>
    <w:p w14:paraId="52FDD4A6" w14:textId="77777777" w:rsidR="008A5BB9" w:rsidRPr="00E26E11" w:rsidRDefault="008A5BB9" w:rsidP="008A5BB9">
      <w:pPr>
        <w:autoSpaceDE w:val="0"/>
        <w:autoSpaceDN w:val="0"/>
        <w:adjustRightInd w:val="0"/>
        <w:spacing w:after="0" w:line="240" w:lineRule="auto"/>
        <w:rPr>
          <w:rFonts w:cstheme="minorHAnsi"/>
          <w:color w:val="474C4B"/>
          <w:sz w:val="24"/>
          <w:szCs w:val="24"/>
        </w:rPr>
      </w:pPr>
    </w:p>
    <w:p w14:paraId="6ED3BA18" w14:textId="69DD0601" w:rsidR="00834AB4" w:rsidRDefault="00A17D36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  <w:r>
        <w:rPr>
          <w:rFonts w:cstheme="minorHAnsi"/>
          <w:color w:val="2C3433"/>
          <w:sz w:val="24"/>
          <w:szCs w:val="24"/>
        </w:rPr>
        <w:t xml:space="preserve">Given the FAA’s recent change in policy that no longer requires operators equipped with SA Aware receivers to conduct a preflight service availability check as part of our § 91.103 preflight obligations,  </w:t>
      </w:r>
      <w:r w:rsidR="00E26E11">
        <w:rPr>
          <w:rFonts w:cstheme="minorHAnsi"/>
          <w:color w:val="2C3433"/>
          <w:sz w:val="24"/>
          <w:szCs w:val="24"/>
        </w:rPr>
        <w:t>(OPERATOR NAME AND BUSINESS ADDRESS)</w:t>
      </w:r>
      <w:r w:rsidR="008A5BB9" w:rsidRPr="00E26E11">
        <w:rPr>
          <w:rFonts w:cstheme="minorHAnsi"/>
          <w:color w:val="2C3433"/>
          <w:sz w:val="24"/>
          <w:szCs w:val="24"/>
        </w:rPr>
        <w:t>, hereby</w:t>
      </w:r>
      <w:r w:rsidR="00E26E11">
        <w:rPr>
          <w:rFonts w:cstheme="minorHAnsi"/>
          <w:color w:val="2C3433"/>
          <w:sz w:val="24"/>
          <w:szCs w:val="24"/>
        </w:rPr>
        <w:t xml:space="preserve"> </w:t>
      </w:r>
      <w:r w:rsidR="00A65494">
        <w:rPr>
          <w:rFonts w:cstheme="minorHAnsi"/>
          <w:color w:val="2C3433"/>
          <w:sz w:val="24"/>
          <w:szCs w:val="24"/>
        </w:rPr>
        <w:t>requests to terminate the relief granted under</w:t>
      </w:r>
      <w:r w:rsidR="00B2647F">
        <w:rPr>
          <w:rFonts w:cstheme="minorHAnsi"/>
          <w:color w:val="2C3433"/>
          <w:sz w:val="24"/>
          <w:szCs w:val="24"/>
        </w:rPr>
        <w:t xml:space="preserve"> </w:t>
      </w:r>
      <w:r w:rsidR="004C31CA">
        <w:rPr>
          <w:rFonts w:cstheme="minorHAnsi"/>
          <w:color w:val="2C3433"/>
          <w:sz w:val="24"/>
          <w:szCs w:val="24"/>
        </w:rPr>
        <w:t>E</w:t>
      </w:r>
      <w:r w:rsidR="008A5BB9" w:rsidRPr="00E26E11">
        <w:rPr>
          <w:rFonts w:cstheme="minorHAnsi"/>
          <w:color w:val="2C3433"/>
          <w:sz w:val="24"/>
          <w:szCs w:val="24"/>
        </w:rPr>
        <w:t>xemption</w:t>
      </w:r>
      <w:r w:rsidR="00E26E11">
        <w:rPr>
          <w:rFonts w:cstheme="minorHAnsi"/>
          <w:color w:val="2C3433"/>
          <w:sz w:val="24"/>
          <w:szCs w:val="24"/>
        </w:rPr>
        <w:t xml:space="preserve"> </w:t>
      </w:r>
      <w:r w:rsidR="004C31CA">
        <w:rPr>
          <w:rFonts w:cstheme="minorHAnsi"/>
          <w:color w:val="2C3433"/>
          <w:sz w:val="24"/>
          <w:szCs w:val="24"/>
        </w:rPr>
        <w:t xml:space="preserve">No. </w:t>
      </w:r>
      <w:r w:rsidR="00E26E11">
        <w:rPr>
          <w:rFonts w:cstheme="minorHAnsi"/>
          <w:color w:val="2C3433"/>
          <w:sz w:val="24"/>
          <w:szCs w:val="24"/>
        </w:rPr>
        <w:t xml:space="preserve">12555. </w:t>
      </w:r>
    </w:p>
    <w:p w14:paraId="4B972A19" w14:textId="77777777" w:rsidR="00E26E11" w:rsidRDefault="00E26E11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0136D2D5" w14:textId="49D64FD1" w:rsidR="00E26E11" w:rsidRDefault="00E26E11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  <w:r>
        <w:rPr>
          <w:rFonts w:cstheme="minorHAnsi"/>
          <w:color w:val="2C3433"/>
          <w:sz w:val="24"/>
          <w:szCs w:val="24"/>
        </w:rPr>
        <w:t>(Name and title of requesting official)</w:t>
      </w:r>
    </w:p>
    <w:p w14:paraId="3DC0E49C" w14:textId="2C0F0CCA" w:rsidR="003D7CD8" w:rsidRDefault="003D7CD8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586A6C3C" w14:textId="05C7253F" w:rsidR="003D7CD8" w:rsidRDefault="003D7CD8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43ECA77F" w14:textId="68E28328" w:rsidR="003D7CD8" w:rsidRDefault="003D7CD8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54CE956F" w14:textId="14479F7D" w:rsidR="003D7CD8" w:rsidRDefault="003D7CD8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1ABE41EC" w14:textId="0FF3C777" w:rsidR="003D7CD8" w:rsidRDefault="003D7CD8" w:rsidP="00E26E11">
      <w:pPr>
        <w:autoSpaceDE w:val="0"/>
        <w:autoSpaceDN w:val="0"/>
        <w:adjustRightInd w:val="0"/>
        <w:spacing w:after="0" w:line="240" w:lineRule="auto"/>
        <w:rPr>
          <w:rFonts w:cstheme="minorHAnsi"/>
          <w:color w:val="2C3433"/>
          <w:sz w:val="24"/>
          <w:szCs w:val="24"/>
        </w:rPr>
      </w:pPr>
    </w:p>
    <w:p w14:paraId="5A987181" w14:textId="6684C1DA" w:rsidR="003D7CD8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</w:t>
      </w:r>
    </w:p>
    <w:p w14:paraId="0E0DC2DB" w14:textId="77777777" w:rsidR="003D7CD8" w:rsidRPr="003D7CD8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4739D5" w14:textId="40F90C4C" w:rsidR="003D7CD8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CD8">
        <w:rPr>
          <w:rFonts w:cstheme="minorHAnsi"/>
          <w:sz w:val="24"/>
          <w:szCs w:val="24"/>
        </w:rPr>
        <w:t>Copies:</w:t>
      </w:r>
    </w:p>
    <w:p w14:paraId="2D59970D" w14:textId="77777777" w:rsidR="003D7CD8" w:rsidRPr="003D7CD8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825D4C" w14:textId="77777777" w:rsidR="003D7CD8" w:rsidRPr="003D7CD8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CD8">
        <w:rPr>
          <w:rFonts w:cstheme="minorHAnsi"/>
          <w:sz w:val="24"/>
          <w:szCs w:val="24"/>
        </w:rPr>
        <w:t>AFX-1 (mailto: 9-AWA-Equip.2020@faa.gov)</w:t>
      </w:r>
    </w:p>
    <w:p w14:paraId="1637D3B6" w14:textId="7C41F9EF" w:rsidR="003D7CD8" w:rsidRPr="00E26E11" w:rsidRDefault="003D7CD8" w:rsidP="003D7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CD8">
        <w:rPr>
          <w:rFonts w:cstheme="minorHAnsi"/>
          <w:sz w:val="24"/>
          <w:szCs w:val="24"/>
        </w:rPr>
        <w:t>CMO/FSDO/IFO</w:t>
      </w:r>
    </w:p>
    <w:sectPr w:rsidR="003D7CD8" w:rsidRPr="00E2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B9"/>
    <w:rsid w:val="000D0EFC"/>
    <w:rsid w:val="00107573"/>
    <w:rsid w:val="002D3387"/>
    <w:rsid w:val="003D7CD8"/>
    <w:rsid w:val="003F290C"/>
    <w:rsid w:val="00482642"/>
    <w:rsid w:val="004C31CA"/>
    <w:rsid w:val="00674300"/>
    <w:rsid w:val="00834AB4"/>
    <w:rsid w:val="008807F1"/>
    <w:rsid w:val="0089698E"/>
    <w:rsid w:val="008A5BB9"/>
    <w:rsid w:val="008B7A62"/>
    <w:rsid w:val="009F7173"/>
    <w:rsid w:val="00A17D36"/>
    <w:rsid w:val="00A65494"/>
    <w:rsid w:val="00A75B90"/>
    <w:rsid w:val="00AF2DE7"/>
    <w:rsid w:val="00B2647F"/>
    <w:rsid w:val="00CE03AD"/>
    <w:rsid w:val="00E10B31"/>
    <w:rsid w:val="00E26E11"/>
    <w:rsid w:val="00E9178F"/>
    <w:rsid w:val="00ED02D6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3D90"/>
  <w15:chartTrackingRefBased/>
  <w15:docId w15:val="{277AF05D-15D2-4809-BAB0-5E86F64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0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a83fecd851c0417976978b7397222c06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49d07d59962c95d57972d3c91819fbde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DF12E-2B42-4228-8E12-E5610C2F2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76F32-0040-4050-9E93-A43426EAB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C7915-4EFA-401A-A2F1-A20A04082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Salvano, Daniel CTR (FAA)</dc:creator>
  <cp:keywords/>
  <dc:description/>
  <cp:lastModifiedBy>VonHoene, Paul (FAA)</cp:lastModifiedBy>
  <cp:revision>3</cp:revision>
  <dcterms:created xsi:type="dcterms:W3CDTF">2022-05-25T11:47:00Z</dcterms:created>
  <dcterms:modified xsi:type="dcterms:W3CDTF">2022-05-25T11:48:00Z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